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655C" w:rsidRPr="006E5344" w:rsidRDefault="006E5344" w:rsidP="006E534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E5344">
        <w:rPr>
          <w:rFonts w:ascii="Times New Roman" w:hAnsi="Times New Roman" w:cs="Times New Roman"/>
          <w:sz w:val="24"/>
          <w:szCs w:val="24"/>
          <w:lang w:val="en-US"/>
        </w:rPr>
        <w:t>Tables</w:t>
      </w:r>
    </w:p>
    <w:p w:rsidR="006E5344" w:rsidRPr="006E5344" w:rsidRDefault="006E5344" w:rsidP="006E5344">
      <w:pPr>
        <w:jc w:val="center"/>
        <w:rPr>
          <w:rFonts w:ascii="Times New Roman" w:hAnsi="Times New Roman" w:cs="Times New Roman"/>
          <w:lang w:val="en-US"/>
        </w:rPr>
      </w:pPr>
    </w:p>
    <w:p w:rsidR="006E5344" w:rsidRPr="006E5344" w:rsidRDefault="006E5344" w:rsidP="006E5344">
      <w:pPr>
        <w:spacing w:after="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lang w:eastAsia="en-GB"/>
        </w:rPr>
      </w:pP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>Table 1</w:t>
      </w:r>
      <w:r w:rsidRPr="006E5344">
        <w:rPr>
          <w:rFonts w:ascii="Times New Roman" w:eastAsia="Times New Roman" w:hAnsi="Times New Roman" w:cs="Times New Roman"/>
          <w:color w:val="1F1F1F"/>
          <w:sz w:val="24"/>
          <w:szCs w:val="24"/>
          <w:lang w:eastAsia="en-GB"/>
        </w:rPr>
        <w:t>. Comparative analysis of the results obtained for the positive samples evaluated under the two incubation regimes based on the application of the AuNP-CB/PET-SPE immunosensor.</w:t>
      </w:r>
    </w:p>
    <w:p w:rsidR="006E5344" w:rsidRPr="006E5344" w:rsidRDefault="006E5344" w:rsidP="006E5344">
      <w:pPr>
        <w:spacing w:after="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lang w:eastAsia="en-GB"/>
        </w:rPr>
      </w:pPr>
    </w:p>
    <w:tbl>
      <w:tblPr>
        <w:tblW w:w="9158" w:type="dxa"/>
        <w:tblBorders>
          <w:top w:val="single" w:sz="6" w:space="0" w:color="8E8E8E"/>
          <w:bottom w:val="single" w:sz="6" w:space="0" w:color="8E8E8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6"/>
        <w:gridCol w:w="1293"/>
        <w:gridCol w:w="1658"/>
        <w:gridCol w:w="1411"/>
      </w:tblGrid>
      <w:tr w:rsidR="006E5344" w:rsidRPr="006E5344" w:rsidTr="006E5344">
        <w:trPr>
          <w:tblHeader/>
        </w:trPr>
        <w:tc>
          <w:tcPr>
            <w:tcW w:w="0" w:type="auto"/>
            <w:tcBorders>
              <w:top w:val="single" w:sz="4" w:space="0" w:color="auto"/>
              <w:bottom w:val="single" w:sz="6" w:space="0" w:color="8E8E8E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Sample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8E8E8E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river water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8E8E8E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artificial saliva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8E8E8E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blood serum</w:t>
            </w:r>
          </w:p>
        </w:tc>
      </w:tr>
      <w:tr w:rsidR="006E5344" w:rsidRPr="006E5344" w:rsidTr="006E5344"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Added SP concentration / </w:t>
            </w:r>
            <w:proofErr w:type="spellStart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pg</w:t>
            </w:r>
            <w:proofErr w:type="spellEnd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 mL</w:t>
            </w:r>
            <w:r w:rsidRPr="006E53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en-GB"/>
              </w:rPr>
              <w:t>−1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76.5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76.5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76.5</w:t>
            </w:r>
          </w:p>
        </w:tc>
      </w:tr>
      <w:tr w:rsidR="006E5344" w:rsidRPr="006E5344" w:rsidTr="006E5344"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10 min incubation (qualitative assay)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+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+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+</w:t>
            </w:r>
          </w:p>
        </w:tc>
      </w:tr>
      <w:tr w:rsidR="006E5344" w:rsidRPr="006E5344" w:rsidTr="006E5344">
        <w:tc>
          <w:tcPr>
            <w:tcW w:w="0" w:type="auto"/>
            <w:tcBorders>
              <w:bottom w:val="single" w:sz="4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FR"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val="fr-FR" w:eastAsia="en-GB"/>
              </w:rPr>
              <w:t>120 min incubation (quantitative assay) / pg mL</w:t>
            </w:r>
            <w:r w:rsidRPr="006E53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fr-FR" w:eastAsia="en-GB"/>
              </w:rPr>
              <w:t>−1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(68 ± 9)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(71 ± 13)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(81 ± 14)</w:t>
            </w:r>
          </w:p>
        </w:tc>
      </w:tr>
    </w:tbl>
    <w:p w:rsidR="006E5344" w:rsidRDefault="006E5344" w:rsidP="006E5344">
      <w:pPr>
        <w:jc w:val="center"/>
        <w:rPr>
          <w:lang w:val="en-US"/>
        </w:rPr>
      </w:pPr>
      <w:bookmarkStart w:id="0" w:name="_GoBack"/>
      <w:bookmarkEnd w:id="0"/>
    </w:p>
    <w:p w:rsidR="006E5344" w:rsidRPr="006E5344" w:rsidRDefault="006E5344" w:rsidP="006E5344">
      <w:pPr>
        <w:spacing w:after="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lang w:eastAsia="en-GB"/>
        </w:rPr>
      </w:pP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>Table 2</w:t>
      </w:r>
      <w:r w:rsidRPr="006E5344">
        <w:rPr>
          <w:rFonts w:ascii="Times New Roman" w:eastAsia="Times New Roman" w:hAnsi="Times New Roman" w:cs="Times New Roman"/>
          <w:color w:val="1F1F1F"/>
          <w:sz w:val="24"/>
          <w:szCs w:val="24"/>
          <w:lang w:eastAsia="en-GB"/>
        </w:rPr>
        <w:t>. Comparative analysis of low-cost SARS-CoV-2 tests reported in the literature based on spike protein detection.</w:t>
      </w:r>
    </w:p>
    <w:tbl>
      <w:tblPr>
        <w:tblW w:w="9515" w:type="dxa"/>
        <w:tblBorders>
          <w:top w:val="single" w:sz="6" w:space="0" w:color="8E8E8E"/>
          <w:bottom w:val="single" w:sz="6" w:space="0" w:color="8E8E8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2"/>
        <w:gridCol w:w="1486"/>
        <w:gridCol w:w="1814"/>
        <w:gridCol w:w="935"/>
        <w:gridCol w:w="1982"/>
        <w:gridCol w:w="982"/>
        <w:gridCol w:w="584"/>
      </w:tblGrid>
      <w:tr w:rsidR="006E5344" w:rsidRPr="006E5344" w:rsidTr="006E5344">
        <w:trPr>
          <w:tblHeader/>
        </w:trPr>
        <w:tc>
          <w:tcPr>
            <w:tcW w:w="0" w:type="auto"/>
            <w:tcBorders>
              <w:top w:val="single" w:sz="6" w:space="0" w:color="8E8E8E"/>
              <w:bottom w:val="single" w:sz="6" w:space="0" w:color="8E8E8E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Detection</w:t>
            </w:r>
          </w:p>
        </w:tc>
        <w:tc>
          <w:tcPr>
            <w:tcW w:w="0" w:type="auto"/>
            <w:tcBorders>
              <w:top w:val="single" w:sz="6" w:space="0" w:color="8E8E8E"/>
              <w:bottom w:val="single" w:sz="6" w:space="0" w:color="8E8E8E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Biorecognition</w:t>
            </w:r>
          </w:p>
        </w:tc>
        <w:tc>
          <w:tcPr>
            <w:tcW w:w="0" w:type="auto"/>
            <w:tcBorders>
              <w:top w:val="single" w:sz="6" w:space="0" w:color="8E8E8E"/>
              <w:bottom w:val="single" w:sz="6" w:space="0" w:color="8E8E8E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sample</w:t>
            </w:r>
          </w:p>
        </w:tc>
        <w:tc>
          <w:tcPr>
            <w:tcW w:w="0" w:type="auto"/>
            <w:tcBorders>
              <w:top w:val="single" w:sz="6" w:space="0" w:color="8E8E8E"/>
              <w:bottom w:val="single" w:sz="6" w:space="0" w:color="8E8E8E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time required</w:t>
            </w:r>
          </w:p>
        </w:tc>
        <w:tc>
          <w:tcPr>
            <w:tcW w:w="0" w:type="auto"/>
            <w:tcBorders>
              <w:top w:val="single" w:sz="6" w:space="0" w:color="8E8E8E"/>
              <w:bottom w:val="single" w:sz="6" w:space="0" w:color="8E8E8E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LOD</w:t>
            </w:r>
          </w:p>
        </w:tc>
        <w:tc>
          <w:tcPr>
            <w:tcW w:w="0" w:type="auto"/>
            <w:tcBorders>
              <w:top w:val="single" w:sz="6" w:space="0" w:color="8E8E8E"/>
              <w:bottom w:val="single" w:sz="6" w:space="0" w:color="8E8E8E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Cost/unit USD</w:t>
            </w:r>
          </w:p>
        </w:tc>
        <w:tc>
          <w:tcPr>
            <w:tcW w:w="0" w:type="auto"/>
            <w:tcBorders>
              <w:bottom w:val="single" w:sz="6" w:space="0" w:color="8E8E8E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Ref.</w:t>
            </w:r>
          </w:p>
        </w:tc>
      </w:tr>
      <w:tr w:rsidR="006E5344" w:rsidRPr="006E5344" w:rsidTr="006E5344"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SWV</w:t>
            </w:r>
            <w:hyperlink r:id="rId4" w:anchor="tb2fn1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1</w:t>
              </w:r>
            </w:hyperlink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antigen-antibody affinity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saliva/serum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10 min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101 </w:t>
            </w:r>
            <w:proofErr w:type="spellStart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fg</w:t>
            </w:r>
            <w:proofErr w:type="spellEnd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 mL</w:t>
            </w:r>
            <w:r w:rsidRPr="006E53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en-GB"/>
              </w:rPr>
              <w:t>−1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0.29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this work</w:t>
            </w:r>
          </w:p>
        </w:tc>
      </w:tr>
      <w:tr w:rsidR="006E5344" w:rsidRPr="006E5344" w:rsidTr="006E5344"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SWV</w:t>
            </w:r>
            <w:hyperlink r:id="rId5" w:anchor="tb2fn1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1</w:t>
              </w:r>
            </w:hyperlink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antigen-ACE2</w:t>
            </w:r>
            <w:hyperlink r:id="rId6" w:anchor="tb2fn2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2</w:t>
              </w:r>
            </w:hyperlink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 affinity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proofErr w:type="spellStart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oro</w:t>
            </w:r>
            <w:proofErr w:type="spellEnd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/nasopharyngeal fluid/saliva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6.5 min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229 </w:t>
            </w:r>
            <w:proofErr w:type="spellStart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fg</w:t>
            </w:r>
            <w:proofErr w:type="spellEnd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 mL</w:t>
            </w:r>
            <w:r w:rsidRPr="006E53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en-GB"/>
              </w:rPr>
              <w:t>−1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1.50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hyperlink r:id="rId7" w:anchor="bib0014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21"/>
                  <w:szCs w:val="21"/>
                  <w:lang w:eastAsia="en-GB"/>
                </w:rPr>
                <w:t>[14]</w:t>
              </w:r>
            </w:hyperlink>
          </w:p>
        </w:tc>
      </w:tr>
      <w:tr w:rsidR="006E5344" w:rsidRPr="006E5344" w:rsidTr="006E5344"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EIS</w:t>
            </w:r>
            <w:hyperlink r:id="rId8" w:anchor="tb2fn3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3</w:t>
              </w:r>
            </w:hyperlink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antigen-antibody affinity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spike protein solution in PBS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Cambria Math" w:eastAsia="Times New Roman" w:hAnsi="Cambria Math" w:cs="Cambria Math"/>
                <w:sz w:val="21"/>
                <w:szCs w:val="21"/>
                <w:lang w:eastAsia="en-GB"/>
              </w:rPr>
              <w:t>∼</w:t>
            </w: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10 min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1.065 </w:t>
            </w:r>
            <w:proofErr w:type="spellStart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fg</w:t>
            </w:r>
            <w:proofErr w:type="spellEnd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 mL</w:t>
            </w:r>
            <w:r w:rsidRPr="006E53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en-GB"/>
              </w:rPr>
              <w:t>−1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5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hyperlink r:id="rId9" w:anchor="bib0038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21"/>
                  <w:szCs w:val="21"/>
                  <w:lang w:eastAsia="en-GB"/>
                </w:rPr>
                <w:t>[38]</w:t>
              </w:r>
            </w:hyperlink>
          </w:p>
        </w:tc>
      </w:tr>
      <w:tr w:rsidR="006E5344" w:rsidRPr="006E5344" w:rsidTr="006E5344"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EIS</w:t>
            </w:r>
            <w:hyperlink r:id="rId10" w:anchor="tb2fn3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3</w:t>
              </w:r>
            </w:hyperlink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antigen-antibody affinity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serum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Cambria Math" w:eastAsia="Times New Roman" w:hAnsi="Cambria Math" w:cs="Cambria Math"/>
                <w:sz w:val="21"/>
                <w:szCs w:val="21"/>
                <w:lang w:eastAsia="en-GB"/>
              </w:rPr>
              <w:t>∼</w:t>
            </w: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90 min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0.5 µg mL</w:t>
            </w:r>
            <w:r w:rsidRPr="006E53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en-GB"/>
              </w:rPr>
              <w:t>−1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10.11</w:t>
            </w:r>
            <w:hyperlink r:id="rId11" w:anchor="tb2fn4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4</w:t>
              </w:r>
            </w:hyperlink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hyperlink r:id="rId12" w:anchor="bib0039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21"/>
                  <w:szCs w:val="21"/>
                  <w:lang w:eastAsia="en-GB"/>
                </w:rPr>
                <w:t>[39]</w:t>
              </w:r>
            </w:hyperlink>
          </w:p>
        </w:tc>
      </w:tr>
      <w:tr w:rsidR="006E5344" w:rsidRPr="006E5344" w:rsidTr="006E5344"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EIS</w:t>
            </w:r>
            <w:hyperlink r:id="rId13" w:anchor="tb2fn3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3</w:t>
              </w:r>
            </w:hyperlink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antigen-ACE2</w:t>
            </w:r>
            <w:hyperlink r:id="rId14" w:anchor="tb2fn2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2</w:t>
              </w:r>
            </w:hyperlink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 affinity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proofErr w:type="spellStart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oro</w:t>
            </w:r>
            <w:proofErr w:type="spellEnd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/nasopharyngeal fluid/saliva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4 min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2.18 </w:t>
            </w:r>
            <w:proofErr w:type="spellStart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fg</w:t>
            </w:r>
            <w:proofErr w:type="spellEnd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 mL</w:t>
            </w:r>
            <w:r w:rsidRPr="006E53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en-GB"/>
              </w:rPr>
              <w:t>−1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4.67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hyperlink r:id="rId15" w:anchor="bib0040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21"/>
                  <w:szCs w:val="21"/>
                  <w:lang w:eastAsia="en-GB"/>
                </w:rPr>
                <w:t>[40]</w:t>
              </w:r>
            </w:hyperlink>
          </w:p>
        </w:tc>
      </w:tr>
      <w:tr w:rsidR="006E5344" w:rsidRPr="006E5344" w:rsidTr="006E5344"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EIS</w:t>
            </w:r>
            <w:hyperlink r:id="rId16" w:anchor="tb2fn3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3</w:t>
              </w:r>
            </w:hyperlink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antigen-aptamer affinity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nasopharyngeal fluid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15 min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not informed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0.31</w:t>
            </w:r>
            <w:hyperlink r:id="rId17" w:anchor="tb2fn5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5</w:t>
              </w:r>
            </w:hyperlink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hyperlink r:id="rId18" w:anchor="bib0041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21"/>
                  <w:szCs w:val="21"/>
                  <w:lang w:eastAsia="en-GB"/>
                </w:rPr>
                <w:t>[41]</w:t>
              </w:r>
            </w:hyperlink>
          </w:p>
        </w:tc>
      </w:tr>
      <w:tr w:rsidR="006E5344" w:rsidRPr="006E5344" w:rsidTr="006E5344"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amperometric</w:t>
            </w:r>
            <w:hyperlink r:id="rId19" w:anchor="tb2fn6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6</w:t>
              </w:r>
            </w:hyperlink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antigen-invertase conjugated aptamer affinity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saliva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60 min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5.27 </w:t>
            </w:r>
            <w:proofErr w:type="spellStart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pmol</w:t>
            </w:r>
            <w:proofErr w:type="spellEnd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 </w:t>
            </w:r>
            <w:r w:rsidRPr="006E534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en-GB"/>
              </w:rPr>
              <w:t>L</w:t>
            </w: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 </w:t>
            </w:r>
            <w:r w:rsidRPr="006E53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en-GB"/>
              </w:rPr>
              <w:t>−1</w:t>
            </w: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 (0.4 ng mL</w:t>
            </w:r>
            <w:r w:rsidRPr="006E53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en-GB"/>
              </w:rPr>
              <w:t>−1</w:t>
            </w: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)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3.2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hyperlink r:id="rId20" w:anchor="bib0042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21"/>
                  <w:szCs w:val="21"/>
                  <w:lang w:eastAsia="en-GB"/>
                </w:rPr>
                <w:t>[42]</w:t>
              </w:r>
            </w:hyperlink>
          </w:p>
        </w:tc>
      </w:tr>
      <w:tr w:rsidR="006E5344" w:rsidRPr="006E5344" w:rsidTr="006E5344"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Colorimetric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antigen-ACE2</w:t>
            </w:r>
            <w:hyperlink r:id="rId21" w:anchor="tb2fn2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16"/>
                  <w:szCs w:val="16"/>
                  <w:vertAlign w:val="superscript"/>
                  <w:lang w:eastAsia="en-GB"/>
                </w:rPr>
                <w:t>2</w:t>
              </w:r>
            </w:hyperlink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 affinity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proofErr w:type="spellStart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oro</w:t>
            </w:r>
            <w:proofErr w:type="spellEnd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/nasopharyngeal fluid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5 min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0.154 </w:t>
            </w:r>
            <w:proofErr w:type="spellStart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pg</w:t>
            </w:r>
            <w:proofErr w:type="spellEnd"/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 xml:space="preserve"> mL</w:t>
            </w:r>
            <w:r w:rsidRPr="006E53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en-GB"/>
              </w:rPr>
              <w:t>−1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0.15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hyperlink r:id="rId22" w:anchor="bib0009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21"/>
                  <w:szCs w:val="21"/>
                  <w:lang w:eastAsia="en-GB"/>
                </w:rPr>
                <w:t>[9]</w:t>
              </w:r>
            </w:hyperlink>
          </w:p>
        </w:tc>
      </w:tr>
      <w:tr w:rsidR="006E5344" w:rsidRPr="006E5344" w:rsidTr="006E5344">
        <w:tc>
          <w:tcPr>
            <w:tcW w:w="0" w:type="auto"/>
            <w:tcBorders>
              <w:bottom w:val="single" w:sz="4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Chemiluminescent lateral flow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antigen-antibody affinity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spike protein solution in PBS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16 min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0.1 ng mL</w:t>
            </w:r>
            <w:r w:rsidRPr="006E53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en-GB"/>
              </w:rPr>
              <w:t>−1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6E5344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0.9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344" w:rsidRPr="006E5344" w:rsidRDefault="006E5344" w:rsidP="006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hyperlink r:id="rId23" w:anchor="bib0043" w:history="1">
              <w:r w:rsidRPr="006E5344">
                <w:rPr>
                  <w:rFonts w:ascii="Times New Roman" w:eastAsia="Times New Roman" w:hAnsi="Times New Roman" w:cs="Times New Roman"/>
                  <w:color w:val="0272B1"/>
                  <w:sz w:val="21"/>
                  <w:szCs w:val="21"/>
                  <w:lang w:eastAsia="en-GB"/>
                </w:rPr>
                <w:t>[43]</w:t>
              </w:r>
            </w:hyperlink>
          </w:p>
        </w:tc>
      </w:tr>
    </w:tbl>
    <w:p w:rsidR="006E5344" w:rsidRPr="006E5344" w:rsidRDefault="006E5344" w:rsidP="006E5344">
      <w:pPr>
        <w:spacing w:after="0" w:line="240" w:lineRule="auto"/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</w:pP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vertAlign w:val="superscript"/>
          <w:lang w:eastAsia="en-GB"/>
        </w:rPr>
        <w:t>1</w:t>
      </w: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 xml:space="preserve">SWV: Square-wave </w:t>
      </w:r>
      <w:proofErr w:type="gramStart"/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>voltammetry;.</w:t>
      </w:r>
      <w:proofErr w:type="gramEnd"/>
    </w:p>
    <w:p w:rsidR="006E5344" w:rsidRPr="006E5344" w:rsidRDefault="006E5344" w:rsidP="006E5344">
      <w:pPr>
        <w:spacing w:after="0" w:line="240" w:lineRule="auto"/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</w:pP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vertAlign w:val="superscript"/>
          <w:lang w:eastAsia="en-GB"/>
        </w:rPr>
        <w:t>2</w:t>
      </w:r>
      <w:hyperlink r:id="rId24" w:tooltip="Learn more about ACE2 from ScienceDirect's AI-generated Topic Pages" w:history="1">
        <w:r w:rsidRPr="006E5344">
          <w:rPr>
            <w:rFonts w:ascii="Times New Roman" w:eastAsia="Times New Roman" w:hAnsi="Times New Roman" w:cs="Times New Roman"/>
            <w:color w:val="1F1F1F"/>
            <w:sz w:val="21"/>
            <w:szCs w:val="21"/>
            <w:u w:val="single"/>
            <w:lang w:eastAsia="en-GB"/>
          </w:rPr>
          <w:t>ACE2</w:t>
        </w:r>
      </w:hyperlink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>: Angiotensin-converting enzyme-2;.</w:t>
      </w:r>
    </w:p>
    <w:p w:rsidR="006E5344" w:rsidRPr="006E5344" w:rsidRDefault="006E5344" w:rsidP="006E5344">
      <w:pPr>
        <w:spacing w:after="0" w:line="240" w:lineRule="auto"/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</w:pP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vertAlign w:val="superscript"/>
          <w:lang w:eastAsia="en-GB"/>
        </w:rPr>
        <w:t>3</w:t>
      </w: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>EIS: </w:t>
      </w:r>
      <w:hyperlink r:id="rId25" w:tooltip="Learn more about Electrochemical impedance spectroscopy from ScienceDirect's AI-generated Topic Pages" w:history="1">
        <w:r w:rsidRPr="006E5344">
          <w:rPr>
            <w:rFonts w:ascii="Times New Roman" w:eastAsia="Times New Roman" w:hAnsi="Times New Roman" w:cs="Times New Roman"/>
            <w:color w:val="1F1F1F"/>
            <w:sz w:val="21"/>
            <w:szCs w:val="21"/>
            <w:u w:val="single"/>
            <w:lang w:eastAsia="en-GB"/>
          </w:rPr>
          <w:t>Electrochemical impedance spectroscopy</w:t>
        </w:r>
      </w:hyperlink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>;.</w:t>
      </w:r>
    </w:p>
    <w:p w:rsidR="006E5344" w:rsidRPr="006E5344" w:rsidRDefault="006E5344" w:rsidP="006E5344">
      <w:pPr>
        <w:spacing w:after="0" w:line="240" w:lineRule="auto"/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</w:pP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vertAlign w:val="superscript"/>
          <w:lang w:eastAsia="en-GB"/>
        </w:rPr>
        <w:t>4</w:t>
      </w: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>converted from euro (€</w:t>
      </w:r>
      <w:proofErr w:type="gramStart"/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>);.</w:t>
      </w:r>
      <w:proofErr w:type="gramEnd"/>
    </w:p>
    <w:p w:rsidR="006E5344" w:rsidRPr="006E5344" w:rsidRDefault="006E5344" w:rsidP="006E5344">
      <w:pPr>
        <w:spacing w:after="0" w:line="240" w:lineRule="auto"/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</w:pP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vertAlign w:val="superscript"/>
          <w:lang w:eastAsia="en-GB"/>
        </w:rPr>
        <w:lastRenderedPageBreak/>
        <w:t>5</w:t>
      </w: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>converted from pound sterling (£</w:t>
      </w:r>
      <w:proofErr w:type="gramStart"/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>);.</w:t>
      </w:r>
      <w:proofErr w:type="gramEnd"/>
    </w:p>
    <w:p w:rsidR="006E5344" w:rsidRPr="006E5344" w:rsidRDefault="006E5344" w:rsidP="006E5344">
      <w:pPr>
        <w:spacing w:after="0" w:line="240" w:lineRule="auto"/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</w:pP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vertAlign w:val="superscript"/>
          <w:lang w:eastAsia="en-GB"/>
        </w:rPr>
        <w:t>6</w:t>
      </w:r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 xml:space="preserve">Indirect current response based on glucose measurement (in mg/dL) of Accu-Chek </w:t>
      </w:r>
      <w:proofErr w:type="spellStart"/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>GuideMe</w:t>
      </w:r>
      <w:proofErr w:type="spellEnd"/>
      <w:r w:rsidRPr="006E5344">
        <w:rPr>
          <w:rFonts w:ascii="Times New Roman" w:eastAsia="Times New Roman" w:hAnsi="Times New Roman" w:cs="Times New Roman"/>
          <w:color w:val="1F1F1F"/>
          <w:sz w:val="21"/>
          <w:szCs w:val="21"/>
          <w:lang w:eastAsia="en-GB"/>
        </w:rPr>
        <w:t xml:space="preserve"> glucometer.</w:t>
      </w:r>
    </w:p>
    <w:p w:rsidR="006E5344" w:rsidRPr="006E5344" w:rsidRDefault="006E5344" w:rsidP="006E5344">
      <w:pPr>
        <w:jc w:val="center"/>
      </w:pPr>
    </w:p>
    <w:sectPr w:rsidR="006E5344" w:rsidRPr="006E5344" w:rsidSect="000654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344"/>
    <w:rsid w:val="0006544B"/>
    <w:rsid w:val="006E5344"/>
    <w:rsid w:val="008C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94BD"/>
  <w15:chartTrackingRefBased/>
  <w15:docId w15:val="{61389FD0-263E-4B34-B1F4-4AD74137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5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label">
    <w:name w:val="label"/>
    <w:basedOn w:val="Fontepargpadro"/>
    <w:rsid w:val="006E5344"/>
  </w:style>
  <w:style w:type="character" w:styleId="Hyperlink">
    <w:name w:val="Hyperlink"/>
    <w:basedOn w:val="Fontepargpadro"/>
    <w:uiPriority w:val="99"/>
    <w:semiHidden/>
    <w:unhideWhenUsed/>
    <w:rsid w:val="006E5344"/>
    <w:rPr>
      <w:color w:val="0000FF"/>
      <w:u w:val="single"/>
    </w:rPr>
  </w:style>
  <w:style w:type="character" w:customStyle="1" w:styleId="anchor-text">
    <w:name w:val="anchor-text"/>
    <w:basedOn w:val="Fontepargpadro"/>
    <w:rsid w:val="006E5344"/>
  </w:style>
  <w:style w:type="character" w:styleId="nfase">
    <w:name w:val="Emphasis"/>
    <w:basedOn w:val="Fontepargpadro"/>
    <w:uiPriority w:val="20"/>
    <w:qFormat/>
    <w:rsid w:val="006E53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56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0517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pii/S266683192300022X?via%3Dihub" TargetMode="External"/><Relationship Id="rId13" Type="http://schemas.openxmlformats.org/officeDocument/2006/relationships/hyperlink" Target="https://www.sciencedirect.com/science/article/pii/S266683192300022X?via%3Dihub" TargetMode="External"/><Relationship Id="rId18" Type="http://schemas.openxmlformats.org/officeDocument/2006/relationships/hyperlink" Target="https://www.sciencedirect.com/science/article/pii/S266683192300022X?via%3Dihub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sciencedirect.com/science/article/pii/S266683192300022X?via%3Dihub" TargetMode="External"/><Relationship Id="rId7" Type="http://schemas.openxmlformats.org/officeDocument/2006/relationships/hyperlink" Target="https://www.sciencedirect.com/science/article/pii/S266683192300022X?via%3Dihub" TargetMode="External"/><Relationship Id="rId12" Type="http://schemas.openxmlformats.org/officeDocument/2006/relationships/hyperlink" Target="https://www.sciencedirect.com/science/article/pii/S266683192300022X?via%3Dihub" TargetMode="External"/><Relationship Id="rId17" Type="http://schemas.openxmlformats.org/officeDocument/2006/relationships/hyperlink" Target="https://www.sciencedirect.com/science/article/pii/S266683192300022X?via%3Dihub" TargetMode="External"/><Relationship Id="rId25" Type="http://schemas.openxmlformats.org/officeDocument/2006/relationships/hyperlink" Target="https://www.sciencedirect.com/topics/chemistry/dielectric-spectroscopy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ciencedirect.com/science/article/pii/S266683192300022X?via%3Dihub" TargetMode="External"/><Relationship Id="rId20" Type="http://schemas.openxmlformats.org/officeDocument/2006/relationships/hyperlink" Target="https://www.sciencedirect.com/science/article/pii/S266683192300022X?via%3Dihub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ciencedirect.com/science/article/pii/S266683192300022X?via%3Dihub" TargetMode="External"/><Relationship Id="rId11" Type="http://schemas.openxmlformats.org/officeDocument/2006/relationships/hyperlink" Target="https://www.sciencedirect.com/science/article/pii/S266683192300022X?via%3Dihub" TargetMode="External"/><Relationship Id="rId24" Type="http://schemas.openxmlformats.org/officeDocument/2006/relationships/hyperlink" Target="https://www.sciencedirect.com/topics/chemistry/angiotensin" TargetMode="External"/><Relationship Id="rId5" Type="http://schemas.openxmlformats.org/officeDocument/2006/relationships/hyperlink" Target="https://www.sciencedirect.com/science/article/pii/S266683192300022X?via%3Dihub" TargetMode="External"/><Relationship Id="rId15" Type="http://schemas.openxmlformats.org/officeDocument/2006/relationships/hyperlink" Target="https://www.sciencedirect.com/science/article/pii/S266683192300022X?via%3Dihub" TargetMode="External"/><Relationship Id="rId23" Type="http://schemas.openxmlformats.org/officeDocument/2006/relationships/hyperlink" Target="https://www.sciencedirect.com/science/article/pii/S266683192300022X?via%3Dihub" TargetMode="External"/><Relationship Id="rId10" Type="http://schemas.openxmlformats.org/officeDocument/2006/relationships/hyperlink" Target="https://www.sciencedirect.com/science/article/pii/S266683192300022X?via%3Dihub" TargetMode="External"/><Relationship Id="rId19" Type="http://schemas.openxmlformats.org/officeDocument/2006/relationships/hyperlink" Target="https://www.sciencedirect.com/science/article/pii/S266683192300022X?via%3Dihub" TargetMode="External"/><Relationship Id="rId4" Type="http://schemas.openxmlformats.org/officeDocument/2006/relationships/hyperlink" Target="https://www.sciencedirect.com/science/article/pii/S266683192300022X?via%3Dihub" TargetMode="External"/><Relationship Id="rId9" Type="http://schemas.openxmlformats.org/officeDocument/2006/relationships/hyperlink" Target="https://www.sciencedirect.com/science/article/pii/S266683192300022X?via%3Dihub" TargetMode="External"/><Relationship Id="rId14" Type="http://schemas.openxmlformats.org/officeDocument/2006/relationships/hyperlink" Target="https://www.sciencedirect.com/science/article/pii/S266683192300022X?via%3Dihub" TargetMode="External"/><Relationship Id="rId22" Type="http://schemas.openxmlformats.org/officeDocument/2006/relationships/hyperlink" Target="https://www.sciencedirect.com/science/article/pii/S266683192300022X?via%3Dihub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627</Words>
  <Characters>3579</Characters>
  <Application>Microsoft Office Word</Application>
  <DocSecurity>0</DocSecurity>
  <Lines>29</Lines>
  <Paragraphs>8</Paragraphs>
  <ScaleCrop>false</ScaleCrop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Camargo</dc:creator>
  <cp:keywords/>
  <dc:description/>
  <cp:lastModifiedBy>Jéssica Camargo</cp:lastModifiedBy>
  <cp:revision>1</cp:revision>
  <dcterms:created xsi:type="dcterms:W3CDTF">2024-01-23T14:00:00Z</dcterms:created>
  <dcterms:modified xsi:type="dcterms:W3CDTF">2024-01-23T14:05:00Z</dcterms:modified>
</cp:coreProperties>
</file>